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E033" w14:textId="77777777" w:rsidR="00F27CAA" w:rsidRPr="009C006E" w:rsidRDefault="00F27CAA" w:rsidP="00F27CAA">
      <w:pPr>
        <w:spacing w:after="0" w:line="240" w:lineRule="auto"/>
        <w:jc w:val="both"/>
        <w:rPr>
          <w:iCs/>
          <w:kern w:val="24"/>
        </w:rPr>
      </w:pPr>
      <w:r w:rsidRPr="009C006E">
        <w:rPr>
          <w:iCs/>
          <w:kern w:val="24"/>
        </w:rPr>
        <w:t xml:space="preserve">Temeljem članaka 15. stavka 2. Zakona o javnoj nabavi </w:t>
      </w:r>
      <w:r w:rsidRPr="009C006E">
        <w:t>(N.N. 120/2016)</w:t>
      </w:r>
      <w:r w:rsidRPr="009C006E">
        <w:rPr>
          <w:iCs/>
          <w:kern w:val="24"/>
        </w:rPr>
        <w:t xml:space="preserve">, te članaka 33. i 73.  Statuta Gradskog kazališta lutaka Split, na prijedlog Ravnateljice, Kazališno vijeće Gradskog kazališta lutaka na svojoj sjednici održanoj dana </w:t>
      </w:r>
      <w:r>
        <w:rPr>
          <w:iCs/>
          <w:kern w:val="24"/>
        </w:rPr>
        <w:t>27</w:t>
      </w:r>
      <w:r w:rsidRPr="009C006E">
        <w:rPr>
          <w:iCs/>
          <w:kern w:val="24"/>
        </w:rPr>
        <w:t xml:space="preserve">. </w:t>
      </w:r>
      <w:r>
        <w:rPr>
          <w:iCs/>
          <w:kern w:val="24"/>
        </w:rPr>
        <w:t xml:space="preserve">05. </w:t>
      </w:r>
      <w:r w:rsidRPr="009C006E">
        <w:rPr>
          <w:iCs/>
          <w:kern w:val="24"/>
        </w:rPr>
        <w:t>20</w:t>
      </w:r>
      <w:r>
        <w:rPr>
          <w:iCs/>
          <w:kern w:val="24"/>
        </w:rPr>
        <w:t>20</w:t>
      </w:r>
      <w:r w:rsidRPr="009C006E">
        <w:rPr>
          <w:iCs/>
          <w:kern w:val="24"/>
        </w:rPr>
        <w:t>. donijelo je</w:t>
      </w:r>
    </w:p>
    <w:p w14:paraId="5829E6AF" w14:textId="77777777" w:rsidR="00F27CAA" w:rsidRPr="00485350" w:rsidRDefault="00F27CAA" w:rsidP="00F27CAA">
      <w:pPr>
        <w:spacing w:after="0" w:line="240" w:lineRule="auto"/>
        <w:jc w:val="both"/>
        <w:rPr>
          <w:rFonts w:eastAsiaTheme="minorEastAsia"/>
          <w:szCs w:val="24"/>
        </w:rPr>
      </w:pPr>
    </w:p>
    <w:p w14:paraId="5A839F77" w14:textId="77777777" w:rsidR="00F27CAA" w:rsidRDefault="00F27CAA" w:rsidP="00F27C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9748C" w14:textId="77777777" w:rsidR="00F27CAA" w:rsidRPr="00265381" w:rsidRDefault="00F27CAA" w:rsidP="00F27CA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381">
        <w:rPr>
          <w:rFonts w:ascii="Times New Roman" w:hAnsi="Times New Roman" w:cs="Times New Roman"/>
          <w:b/>
          <w:bCs/>
          <w:sz w:val="24"/>
          <w:szCs w:val="24"/>
        </w:rPr>
        <w:t>ODLUKU O IZMJENAMA I DOPUNAMA</w:t>
      </w:r>
    </w:p>
    <w:p w14:paraId="6248C9F1" w14:textId="77777777" w:rsidR="00537229" w:rsidRPr="00F27CAA" w:rsidRDefault="00537229" w:rsidP="00537229">
      <w:pPr>
        <w:spacing w:after="3" w:line="259" w:lineRule="auto"/>
        <w:ind w:right="63"/>
        <w:jc w:val="center"/>
        <w:rPr>
          <w:b/>
          <w:bCs/>
        </w:rPr>
      </w:pPr>
      <w:r w:rsidRPr="00F27CAA">
        <w:rPr>
          <w:b/>
          <w:bCs/>
        </w:rPr>
        <w:t>PRAVILNIKA O PROVEDBI POSTUPAKA JEDNOSTAVNE NABAVE</w:t>
      </w:r>
    </w:p>
    <w:p w14:paraId="1D780D67" w14:textId="77777777" w:rsidR="00537229" w:rsidRDefault="00537229" w:rsidP="00537229">
      <w:pPr>
        <w:spacing w:after="3" w:line="259" w:lineRule="auto"/>
        <w:ind w:right="63"/>
        <w:jc w:val="center"/>
      </w:pPr>
    </w:p>
    <w:p w14:paraId="21A6DCA5" w14:textId="77777777" w:rsidR="00F27CAA" w:rsidRDefault="00F27CAA" w:rsidP="00537229">
      <w:pPr>
        <w:spacing w:after="3" w:line="259" w:lineRule="auto"/>
        <w:ind w:right="63"/>
        <w:jc w:val="center"/>
      </w:pPr>
    </w:p>
    <w:p w14:paraId="196B7093" w14:textId="77777777" w:rsidR="00F27CAA" w:rsidRPr="00265381" w:rsidRDefault="00F27CAA" w:rsidP="00F27CA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49CA6795" w14:textId="77777777" w:rsidR="00F27CAA" w:rsidRPr="00E65A1B" w:rsidRDefault="00F27CAA" w:rsidP="00F27C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396572"/>
      <w:r w:rsidRPr="00E65A1B">
        <w:rPr>
          <w:rFonts w:ascii="Times New Roman" w:hAnsi="Times New Roman" w:cs="Times New Roman"/>
          <w:sz w:val="24"/>
          <w:szCs w:val="24"/>
        </w:rPr>
        <w:t>Članak 1.</w:t>
      </w:r>
    </w:p>
    <w:bookmarkEnd w:id="0"/>
    <w:p w14:paraId="74F49119" w14:textId="77777777" w:rsidR="00F27CAA" w:rsidRPr="00F27CAA" w:rsidRDefault="00F27CAA" w:rsidP="00F27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27CAA">
        <w:rPr>
          <w:rFonts w:ascii="Times New Roman" w:hAnsi="Times New Roman" w:cs="Times New Roman"/>
          <w:sz w:val="24"/>
          <w:szCs w:val="24"/>
        </w:rPr>
        <w:t xml:space="preserve">U članku 7. riječi </w:t>
      </w:r>
      <w:r w:rsidRPr="00E65A1B">
        <w:rPr>
          <w:rFonts w:ascii="Times New Roman" w:hAnsi="Times New Roman" w:cs="Times New Roman"/>
          <w:i/>
          <w:iCs/>
          <w:sz w:val="24"/>
          <w:szCs w:val="24"/>
        </w:rPr>
        <w:t>„najmanje trojici gospodarskih subjekata prema vlastitom izboru. Poziv se, istodobno sa slanjem odabranim gospodarskim subjektima, objavljuje i na internetskim stranicama Naručitelja“</w:t>
      </w:r>
      <w:r w:rsidRPr="00F27CAA">
        <w:rPr>
          <w:rFonts w:ascii="Times New Roman" w:hAnsi="Times New Roman" w:cs="Times New Roman"/>
          <w:sz w:val="24"/>
          <w:szCs w:val="24"/>
        </w:rPr>
        <w:t xml:space="preserve"> zamjenjuju se riječima „</w:t>
      </w:r>
      <w:r w:rsidRPr="00F2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zainteresiranim gospodarskim subjektima putem Elektronskog oglasnika javne nabave</w:t>
      </w:r>
      <w:r w:rsidRPr="00F27CAA">
        <w:rPr>
          <w:rFonts w:ascii="Times New Roman" w:hAnsi="Times New Roman" w:cs="Times New Roman"/>
          <w:sz w:val="24"/>
          <w:szCs w:val="24"/>
        </w:rPr>
        <w:t>“.</w:t>
      </w:r>
    </w:p>
    <w:p w14:paraId="656F6158" w14:textId="77777777" w:rsidR="00F27CAA" w:rsidRPr="00F27CAA" w:rsidRDefault="00F27CAA" w:rsidP="00F27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F65125" w14:textId="77777777" w:rsidR="00F27CAA" w:rsidRDefault="00F27CAA" w:rsidP="00537229">
      <w:pPr>
        <w:spacing w:after="3" w:line="259" w:lineRule="auto"/>
        <w:ind w:right="63"/>
        <w:jc w:val="center"/>
      </w:pPr>
    </w:p>
    <w:p w14:paraId="1093F307" w14:textId="77777777" w:rsidR="00F27CAA" w:rsidRDefault="00F27CAA" w:rsidP="00537229">
      <w:pPr>
        <w:spacing w:after="3" w:line="259" w:lineRule="auto"/>
        <w:ind w:right="63"/>
        <w:jc w:val="center"/>
      </w:pPr>
    </w:p>
    <w:p w14:paraId="16DF0D51" w14:textId="77777777" w:rsidR="00F27CAA" w:rsidRPr="00E65A1B" w:rsidRDefault="00F27CAA" w:rsidP="00F27C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65A1B">
        <w:rPr>
          <w:rFonts w:ascii="Times New Roman" w:hAnsi="Times New Roman" w:cs="Times New Roman"/>
          <w:sz w:val="24"/>
          <w:szCs w:val="24"/>
        </w:rPr>
        <w:t>Članak 2.</w:t>
      </w:r>
    </w:p>
    <w:p w14:paraId="060E91A1" w14:textId="77777777" w:rsidR="00F27CAA" w:rsidRPr="00E65A1B" w:rsidRDefault="00F27CAA" w:rsidP="00E65A1B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5A1B">
        <w:rPr>
          <w:rFonts w:ascii="Times New Roman" w:hAnsi="Times New Roman" w:cs="Times New Roman"/>
          <w:sz w:val="24"/>
          <w:szCs w:val="24"/>
        </w:rPr>
        <w:t xml:space="preserve">U članku </w:t>
      </w:r>
      <w:r w:rsidR="00E65A1B" w:rsidRPr="00E65A1B">
        <w:rPr>
          <w:rFonts w:ascii="Times New Roman" w:hAnsi="Times New Roman" w:cs="Times New Roman"/>
          <w:sz w:val="24"/>
          <w:szCs w:val="24"/>
        </w:rPr>
        <w:t>8</w:t>
      </w:r>
      <w:r w:rsidRPr="00E65A1B">
        <w:rPr>
          <w:rFonts w:ascii="Times New Roman" w:hAnsi="Times New Roman" w:cs="Times New Roman"/>
          <w:sz w:val="24"/>
          <w:szCs w:val="24"/>
        </w:rPr>
        <w:t>.</w:t>
      </w:r>
      <w:r w:rsidR="00E65A1B">
        <w:rPr>
          <w:rFonts w:ascii="Times New Roman" w:hAnsi="Times New Roman" w:cs="Times New Roman"/>
          <w:sz w:val="24"/>
          <w:szCs w:val="24"/>
        </w:rPr>
        <w:t xml:space="preserve"> stavku 1. </w:t>
      </w:r>
      <w:r w:rsidRPr="00E65A1B">
        <w:rPr>
          <w:rFonts w:ascii="Times New Roman" w:hAnsi="Times New Roman" w:cs="Times New Roman"/>
          <w:sz w:val="24"/>
          <w:szCs w:val="24"/>
        </w:rPr>
        <w:t>iz</w:t>
      </w:r>
      <w:r w:rsidR="00416C38" w:rsidRPr="00E65A1B">
        <w:rPr>
          <w:rFonts w:ascii="Times New Roman" w:hAnsi="Times New Roman" w:cs="Times New Roman"/>
          <w:sz w:val="24"/>
          <w:szCs w:val="24"/>
        </w:rPr>
        <w:t>među</w:t>
      </w:r>
      <w:r w:rsidRPr="00E65A1B">
        <w:rPr>
          <w:rFonts w:ascii="Times New Roman" w:hAnsi="Times New Roman" w:cs="Times New Roman"/>
          <w:sz w:val="24"/>
          <w:szCs w:val="24"/>
        </w:rPr>
        <w:t xml:space="preserve"> riječi </w:t>
      </w:r>
      <w:r w:rsidR="00E65A1B" w:rsidRPr="00E65A1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E65A1B">
        <w:rPr>
          <w:rFonts w:ascii="Times New Roman" w:hAnsi="Times New Roman" w:cs="Times New Roman"/>
          <w:i/>
          <w:iCs/>
          <w:sz w:val="24"/>
          <w:szCs w:val="24"/>
        </w:rPr>
        <w:t>ponuda</w:t>
      </w:r>
      <w:r w:rsidR="00E65A1B" w:rsidRPr="00E65A1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65A1B">
        <w:rPr>
          <w:rFonts w:ascii="Times New Roman" w:hAnsi="Times New Roman" w:cs="Times New Roman"/>
          <w:sz w:val="24"/>
          <w:szCs w:val="24"/>
        </w:rPr>
        <w:t xml:space="preserve"> i riječi </w:t>
      </w:r>
      <w:r w:rsidR="00E65A1B" w:rsidRPr="00E65A1B">
        <w:rPr>
          <w:rFonts w:ascii="Times New Roman" w:hAnsi="Times New Roman" w:cs="Times New Roman"/>
          <w:i/>
          <w:iCs/>
          <w:sz w:val="24"/>
          <w:szCs w:val="24"/>
        </w:rPr>
        <w:t>„Naručitelj“</w:t>
      </w:r>
      <w:r w:rsidRPr="00E65A1B">
        <w:rPr>
          <w:rFonts w:ascii="Times New Roman" w:hAnsi="Times New Roman" w:cs="Times New Roman"/>
          <w:sz w:val="24"/>
          <w:szCs w:val="24"/>
        </w:rPr>
        <w:t xml:space="preserve"> dodaju se riječi </w:t>
      </w:r>
      <w:r w:rsidR="00416C38" w:rsidRPr="00E65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„iz članka 6. Pravilnika“</w:t>
      </w:r>
      <w:r w:rsidR="00E65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F57F9D" w14:textId="77777777" w:rsidR="00F27CAA" w:rsidRDefault="00F27CAA" w:rsidP="00537229">
      <w:pPr>
        <w:spacing w:after="3" w:line="259" w:lineRule="auto"/>
        <w:ind w:right="63"/>
        <w:jc w:val="center"/>
      </w:pPr>
    </w:p>
    <w:p w14:paraId="202D97BC" w14:textId="77777777" w:rsidR="00F27CAA" w:rsidRDefault="00F27CAA" w:rsidP="00537229">
      <w:pPr>
        <w:spacing w:after="3" w:line="259" w:lineRule="auto"/>
        <w:ind w:right="63"/>
        <w:jc w:val="center"/>
      </w:pPr>
    </w:p>
    <w:p w14:paraId="1022B7C7" w14:textId="77777777" w:rsidR="00537229" w:rsidRDefault="00537229" w:rsidP="00537229">
      <w:pPr>
        <w:spacing w:after="3" w:line="259" w:lineRule="auto"/>
        <w:ind w:right="63"/>
        <w:jc w:val="center"/>
      </w:pPr>
      <w:r>
        <w:t xml:space="preserve">Članak </w:t>
      </w:r>
      <w:r w:rsidR="00E65A1B">
        <w:t>3</w:t>
      </w:r>
      <w:r>
        <w:t xml:space="preserve">. </w:t>
      </w:r>
    </w:p>
    <w:p w14:paraId="1EF114C7" w14:textId="77777777" w:rsidR="00E65A1B" w:rsidRPr="00E65A1B" w:rsidRDefault="00E65A1B" w:rsidP="00E65A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65A1B">
        <w:rPr>
          <w:rFonts w:ascii="Times New Roman" w:hAnsi="Times New Roman" w:cs="Times New Roman"/>
          <w:sz w:val="24"/>
          <w:szCs w:val="24"/>
        </w:rPr>
        <w:t>Ova Odluka o izmjenama i dopunama Pravilnika stupa na snagu osmog dana od dana objave na oglasnoj ploči Gradskog kazališta lutaka.</w:t>
      </w:r>
    </w:p>
    <w:p w14:paraId="21B6D4B6" w14:textId="77777777" w:rsidR="00E65A1B" w:rsidRDefault="00E65A1B" w:rsidP="00E65A1B">
      <w:pPr>
        <w:spacing w:after="0" w:line="240" w:lineRule="auto"/>
        <w:ind w:left="0" w:firstLine="0"/>
        <w:jc w:val="right"/>
        <w:rPr>
          <w:rFonts w:eastAsiaTheme="minorHAnsi"/>
          <w:color w:val="auto"/>
          <w:szCs w:val="24"/>
          <w:lang w:eastAsia="en-US"/>
        </w:rPr>
      </w:pPr>
    </w:p>
    <w:p w14:paraId="7E0B095A" w14:textId="77777777" w:rsidR="00E65A1B" w:rsidRPr="00E65A1B" w:rsidRDefault="00E65A1B" w:rsidP="00E65A1B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 w:rsidRPr="00E65A1B">
        <w:rPr>
          <w:rFonts w:eastAsia="Calibri"/>
          <w:color w:val="auto"/>
          <w:szCs w:val="24"/>
          <w:lang w:eastAsia="en-US"/>
        </w:rPr>
        <w:t>Predsjednik Kazališnog vijeća</w:t>
      </w:r>
    </w:p>
    <w:p w14:paraId="0872CD97" w14:textId="77777777" w:rsidR="00E65A1B" w:rsidRPr="00E65A1B" w:rsidRDefault="00E65A1B" w:rsidP="00E65A1B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</w:p>
    <w:p w14:paraId="3745D221" w14:textId="77777777" w:rsidR="00E65A1B" w:rsidRPr="00E65A1B" w:rsidRDefault="00E65A1B" w:rsidP="00E65A1B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Toni Maglica</w:t>
      </w:r>
    </w:p>
    <w:p w14:paraId="0C9AFF47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 w:val="22"/>
          <w:lang w:eastAsia="en-US"/>
        </w:rPr>
      </w:pPr>
    </w:p>
    <w:p w14:paraId="313FFE9E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 w:val="22"/>
          <w:lang w:eastAsia="en-US"/>
        </w:rPr>
      </w:pPr>
    </w:p>
    <w:p w14:paraId="7F17B33C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 w:val="22"/>
          <w:lang w:eastAsia="en-US"/>
        </w:rPr>
      </w:pPr>
    </w:p>
    <w:p w14:paraId="4B43FBB5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 w:val="22"/>
          <w:lang w:eastAsia="en-US"/>
        </w:rPr>
      </w:pPr>
    </w:p>
    <w:p w14:paraId="0A1C32C9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 w:val="22"/>
          <w:lang w:eastAsia="en-US"/>
        </w:rPr>
      </w:pPr>
      <w:r w:rsidRPr="00E65A1B">
        <w:rPr>
          <w:rFonts w:eastAsiaTheme="minorHAnsi" w:cstheme="minorBidi"/>
          <w:color w:val="auto"/>
          <w:sz w:val="22"/>
          <w:lang w:eastAsia="en-US"/>
        </w:rPr>
        <w:t>Klasa:  612-03/</w:t>
      </w:r>
      <w:r>
        <w:rPr>
          <w:rFonts w:eastAsiaTheme="minorHAnsi" w:cstheme="minorBidi"/>
          <w:color w:val="auto"/>
          <w:sz w:val="22"/>
          <w:lang w:eastAsia="en-US"/>
        </w:rPr>
        <w:t>20</w:t>
      </w:r>
      <w:r w:rsidRPr="00E65A1B">
        <w:rPr>
          <w:rFonts w:eastAsiaTheme="minorHAnsi" w:cstheme="minorBidi"/>
          <w:color w:val="auto"/>
          <w:sz w:val="22"/>
          <w:lang w:eastAsia="en-US"/>
        </w:rPr>
        <w:t>-01/06</w:t>
      </w:r>
    </w:p>
    <w:p w14:paraId="76D50F4D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 w:val="22"/>
          <w:lang w:eastAsia="en-US"/>
        </w:rPr>
      </w:pPr>
      <w:r w:rsidRPr="00E65A1B">
        <w:rPr>
          <w:rFonts w:eastAsiaTheme="minorHAnsi" w:cstheme="minorBidi"/>
          <w:color w:val="auto"/>
          <w:sz w:val="22"/>
          <w:lang w:eastAsia="en-US"/>
        </w:rPr>
        <w:t>Urbroj: 2181-111-01/</w:t>
      </w:r>
      <w:r>
        <w:rPr>
          <w:rFonts w:eastAsiaTheme="minorHAnsi" w:cstheme="minorBidi"/>
          <w:color w:val="auto"/>
          <w:sz w:val="22"/>
          <w:lang w:eastAsia="en-US"/>
        </w:rPr>
        <w:t>20</w:t>
      </w:r>
      <w:r w:rsidRPr="00E65A1B">
        <w:rPr>
          <w:rFonts w:eastAsiaTheme="minorHAnsi" w:cstheme="minorBidi"/>
          <w:color w:val="auto"/>
          <w:sz w:val="22"/>
          <w:lang w:eastAsia="en-US"/>
        </w:rPr>
        <w:t>-</w:t>
      </w:r>
      <w:r>
        <w:rPr>
          <w:rFonts w:eastAsiaTheme="minorHAnsi" w:cstheme="minorBidi"/>
          <w:color w:val="auto"/>
          <w:sz w:val="22"/>
          <w:lang w:eastAsia="en-US"/>
        </w:rPr>
        <w:t>296</w:t>
      </w:r>
    </w:p>
    <w:p w14:paraId="66B8E559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color w:val="auto"/>
          <w:szCs w:val="24"/>
          <w:lang w:eastAsia="en-US"/>
        </w:rPr>
      </w:pPr>
      <w:r w:rsidRPr="00E65A1B">
        <w:rPr>
          <w:rFonts w:eastAsiaTheme="minorHAnsi" w:cstheme="minorBidi"/>
          <w:color w:val="auto"/>
          <w:szCs w:val="24"/>
          <w:lang w:eastAsia="en-US"/>
        </w:rPr>
        <w:t xml:space="preserve">Split, </w:t>
      </w:r>
      <w:r>
        <w:rPr>
          <w:rFonts w:eastAsiaTheme="minorHAnsi" w:cstheme="minorBidi"/>
          <w:color w:val="auto"/>
          <w:szCs w:val="24"/>
          <w:lang w:eastAsia="en-US"/>
        </w:rPr>
        <w:t>27</w:t>
      </w:r>
      <w:r w:rsidRPr="00E65A1B">
        <w:rPr>
          <w:rFonts w:eastAsiaTheme="minorHAnsi" w:cstheme="minorBidi"/>
          <w:color w:val="auto"/>
          <w:szCs w:val="24"/>
          <w:lang w:eastAsia="en-US"/>
        </w:rPr>
        <w:t>.0</w:t>
      </w:r>
      <w:r>
        <w:rPr>
          <w:rFonts w:eastAsiaTheme="minorHAnsi" w:cstheme="minorBidi"/>
          <w:color w:val="auto"/>
          <w:szCs w:val="24"/>
          <w:lang w:eastAsia="en-US"/>
        </w:rPr>
        <w:t>5</w:t>
      </w:r>
      <w:r w:rsidRPr="00E65A1B">
        <w:rPr>
          <w:rFonts w:eastAsiaTheme="minorHAnsi" w:cstheme="minorBidi"/>
          <w:color w:val="auto"/>
          <w:szCs w:val="24"/>
          <w:lang w:eastAsia="en-US"/>
        </w:rPr>
        <w:t>.20</w:t>
      </w:r>
      <w:r>
        <w:rPr>
          <w:rFonts w:eastAsiaTheme="minorHAnsi" w:cstheme="minorBidi"/>
          <w:color w:val="auto"/>
          <w:szCs w:val="24"/>
          <w:lang w:eastAsia="en-US"/>
        </w:rPr>
        <w:t>20</w:t>
      </w:r>
      <w:r w:rsidRPr="00E65A1B">
        <w:rPr>
          <w:rFonts w:eastAsiaTheme="minorHAnsi" w:cstheme="minorBidi"/>
          <w:color w:val="auto"/>
          <w:szCs w:val="24"/>
          <w:lang w:eastAsia="en-US"/>
        </w:rPr>
        <w:t>.</w:t>
      </w:r>
    </w:p>
    <w:p w14:paraId="5E436238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 w:cstheme="minorBidi"/>
          <w:b/>
          <w:bCs/>
          <w:iCs/>
          <w:color w:val="auto"/>
          <w:sz w:val="20"/>
          <w:szCs w:val="20"/>
          <w:lang w:eastAsia="en-US"/>
        </w:rPr>
      </w:pPr>
    </w:p>
    <w:p w14:paraId="5A1BE4D8" w14:textId="3BBBB5B2" w:rsidR="00E65A1B" w:rsidRPr="00E65A1B" w:rsidRDefault="00E65A1B" w:rsidP="00E65A1B">
      <w:pPr>
        <w:spacing w:after="0" w:line="240" w:lineRule="auto"/>
        <w:ind w:left="0" w:firstLine="0"/>
        <w:jc w:val="both"/>
        <w:rPr>
          <w:rFonts w:eastAsiaTheme="minorHAnsi" w:cstheme="minorBidi"/>
          <w:b/>
          <w:color w:val="auto"/>
          <w:sz w:val="22"/>
          <w:lang w:eastAsia="en-US"/>
        </w:rPr>
      </w:pPr>
      <w:r w:rsidRPr="00E65A1B">
        <w:rPr>
          <w:rFonts w:eastAsiaTheme="minorHAnsi" w:cstheme="minorBidi"/>
          <w:b/>
          <w:color w:val="auto"/>
          <w:sz w:val="22"/>
          <w:lang w:eastAsia="en-US"/>
        </w:rPr>
        <w:t xml:space="preserve">Da je ova Odluka objavljena na oglasnoj ploči Kazališta dana </w:t>
      </w:r>
      <w:r w:rsidR="00021B52">
        <w:rPr>
          <w:rFonts w:eastAsiaTheme="minorHAnsi" w:cstheme="minorBidi"/>
          <w:b/>
          <w:color w:val="auto"/>
          <w:sz w:val="22"/>
          <w:lang w:eastAsia="en-US"/>
        </w:rPr>
        <w:t>27</w:t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 xml:space="preserve">. </w:t>
      </w:r>
      <w:r w:rsidR="00021B52">
        <w:rPr>
          <w:rFonts w:eastAsiaTheme="minorHAnsi" w:cstheme="minorBidi"/>
          <w:b/>
          <w:color w:val="auto"/>
          <w:sz w:val="22"/>
          <w:lang w:eastAsia="en-US"/>
        </w:rPr>
        <w:t>05</w:t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>. 20</w:t>
      </w:r>
      <w:r>
        <w:rPr>
          <w:rFonts w:eastAsiaTheme="minorHAnsi" w:cstheme="minorBidi"/>
          <w:b/>
          <w:color w:val="auto"/>
          <w:sz w:val="22"/>
          <w:lang w:eastAsia="en-US"/>
        </w:rPr>
        <w:t>20</w:t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 xml:space="preserve">. te da je stupila na snagu </w:t>
      </w:r>
      <w:r w:rsidR="00021B52">
        <w:rPr>
          <w:rFonts w:eastAsiaTheme="minorHAnsi" w:cstheme="minorBidi"/>
          <w:b/>
          <w:color w:val="auto"/>
          <w:sz w:val="22"/>
          <w:lang w:eastAsia="en-US"/>
        </w:rPr>
        <w:t>04</w:t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 xml:space="preserve">. </w:t>
      </w:r>
      <w:r w:rsidR="00021B52">
        <w:rPr>
          <w:rFonts w:eastAsiaTheme="minorHAnsi" w:cstheme="minorBidi"/>
          <w:b/>
          <w:color w:val="auto"/>
          <w:sz w:val="22"/>
          <w:lang w:eastAsia="en-US"/>
        </w:rPr>
        <w:t>06</w:t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>. 20</w:t>
      </w:r>
      <w:r>
        <w:rPr>
          <w:rFonts w:eastAsiaTheme="minorHAnsi" w:cstheme="minorBidi"/>
          <w:b/>
          <w:color w:val="auto"/>
          <w:sz w:val="22"/>
          <w:lang w:eastAsia="en-US"/>
        </w:rPr>
        <w:t>20</w:t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>. potvrđuje ravnateljica Marija Tudor</w:t>
      </w:r>
    </w:p>
    <w:p w14:paraId="7B271EE3" w14:textId="77777777" w:rsidR="00E65A1B" w:rsidRPr="00E65A1B" w:rsidRDefault="00E65A1B" w:rsidP="00E65A1B">
      <w:pPr>
        <w:spacing w:after="0" w:line="240" w:lineRule="auto"/>
        <w:ind w:left="0" w:firstLine="0"/>
        <w:jc w:val="right"/>
        <w:rPr>
          <w:rFonts w:eastAsiaTheme="minorHAnsi" w:cstheme="minorBidi"/>
          <w:b/>
          <w:color w:val="auto"/>
          <w:sz w:val="22"/>
          <w:lang w:eastAsia="en-US"/>
        </w:rPr>
      </w:pP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</w:p>
    <w:p w14:paraId="26D8E44D" w14:textId="77777777" w:rsidR="00E65A1B" w:rsidRDefault="00E65A1B" w:rsidP="00E65A1B">
      <w:pPr>
        <w:spacing w:after="0" w:line="240" w:lineRule="auto"/>
        <w:ind w:left="5664" w:firstLine="708"/>
        <w:jc w:val="center"/>
        <w:rPr>
          <w:rFonts w:eastAsiaTheme="minorHAnsi" w:cstheme="minorBidi"/>
          <w:b/>
          <w:color w:val="auto"/>
          <w:sz w:val="22"/>
          <w:lang w:eastAsia="en-US"/>
        </w:rPr>
      </w:pPr>
      <w:r w:rsidRPr="00E65A1B">
        <w:rPr>
          <w:rFonts w:eastAsiaTheme="minorHAnsi" w:cstheme="minorBidi"/>
          <w:b/>
          <w:color w:val="auto"/>
          <w:sz w:val="22"/>
          <w:lang w:eastAsia="en-US"/>
        </w:rPr>
        <w:t xml:space="preserve">           </w:t>
      </w:r>
    </w:p>
    <w:p w14:paraId="69BB1EEF" w14:textId="77777777" w:rsidR="00E65A1B" w:rsidRPr="00E65A1B" w:rsidRDefault="00E65A1B" w:rsidP="00E65A1B">
      <w:pPr>
        <w:spacing w:after="0" w:line="240" w:lineRule="auto"/>
        <w:ind w:left="6372" w:firstLine="708"/>
        <w:jc w:val="center"/>
        <w:rPr>
          <w:rFonts w:eastAsiaTheme="minorHAnsi" w:cstheme="minorBidi"/>
          <w:b/>
          <w:color w:val="auto"/>
          <w:sz w:val="22"/>
          <w:lang w:eastAsia="en-US"/>
        </w:rPr>
      </w:pPr>
      <w:r w:rsidRPr="00E65A1B">
        <w:rPr>
          <w:rFonts w:eastAsiaTheme="minorHAnsi" w:cstheme="minorBidi"/>
          <w:b/>
          <w:color w:val="auto"/>
          <w:sz w:val="22"/>
          <w:lang w:eastAsia="en-US"/>
        </w:rPr>
        <w:t xml:space="preserve">      Ravnateljica</w:t>
      </w:r>
    </w:p>
    <w:p w14:paraId="4A9EA32C" w14:textId="77777777" w:rsidR="00E65A1B" w:rsidRPr="00E65A1B" w:rsidRDefault="00E65A1B" w:rsidP="00E65A1B">
      <w:pPr>
        <w:spacing w:after="0" w:line="240" w:lineRule="auto"/>
        <w:ind w:left="0" w:firstLine="0"/>
        <w:jc w:val="right"/>
        <w:rPr>
          <w:rFonts w:eastAsiaTheme="minorHAnsi" w:cstheme="minorBidi"/>
          <w:b/>
          <w:color w:val="auto"/>
          <w:sz w:val="22"/>
          <w:lang w:eastAsia="en-US"/>
        </w:rPr>
      </w:pPr>
    </w:p>
    <w:p w14:paraId="42E69B7C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</w:r>
      <w:r w:rsidRPr="00E65A1B">
        <w:rPr>
          <w:rFonts w:eastAsiaTheme="minorHAnsi" w:cstheme="minorBidi"/>
          <w:b/>
          <w:color w:val="auto"/>
          <w:sz w:val="22"/>
          <w:lang w:eastAsia="en-US"/>
        </w:rPr>
        <w:tab/>
        <w:t xml:space="preserve">          Marija Tudor</w:t>
      </w:r>
    </w:p>
    <w:p w14:paraId="23E7CF59" w14:textId="77777777" w:rsidR="00E65A1B" w:rsidRPr="00E65A1B" w:rsidRDefault="00E65A1B" w:rsidP="00E65A1B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0F0A4102" w14:textId="77777777" w:rsidR="00661641" w:rsidRPr="00E65A1B" w:rsidRDefault="00661641" w:rsidP="00E65A1B">
      <w:pPr>
        <w:spacing w:after="0" w:line="240" w:lineRule="auto"/>
        <w:ind w:left="0" w:firstLine="0"/>
        <w:jc w:val="right"/>
        <w:rPr>
          <w:b/>
          <w:bCs/>
          <w:i/>
          <w:iCs/>
          <w:szCs w:val="24"/>
        </w:rPr>
      </w:pPr>
    </w:p>
    <w:sectPr w:rsidR="00661641" w:rsidRPr="00E6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9"/>
    <w:rsid w:val="00021B52"/>
    <w:rsid w:val="00303970"/>
    <w:rsid w:val="00416C38"/>
    <w:rsid w:val="00486EC7"/>
    <w:rsid w:val="00537229"/>
    <w:rsid w:val="005A2A8E"/>
    <w:rsid w:val="00661641"/>
    <w:rsid w:val="009C37C5"/>
    <w:rsid w:val="00D27588"/>
    <w:rsid w:val="00E65A1B"/>
    <w:rsid w:val="00F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4847"/>
  <w15:docId w15:val="{24967EA2-1D09-47AA-A5FF-2659627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29"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7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810C-3B60-47BD-B7F3-3944FA69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Gloria</cp:lastModifiedBy>
  <cp:revision>3</cp:revision>
  <dcterms:created xsi:type="dcterms:W3CDTF">2020-05-27T09:13:00Z</dcterms:created>
  <dcterms:modified xsi:type="dcterms:W3CDTF">2021-02-17T10:18:00Z</dcterms:modified>
</cp:coreProperties>
</file>